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KOMPAS</w:t>
      </w:r>
      <w:r>
        <w:t xml:space="preserve"> </w:t>
      </w:r>
      <w:r>
        <w:t xml:space="preserve">/</w:t>
      </w:r>
      <w:r>
        <w:t xml:space="preserve"> </w:t>
      </w:r>
      <w:r>
        <w:t xml:space="preserve">Aanpak</w:t>
      </w:r>
      <w:r>
        <w:t xml:space="preserve"> </w:t>
      </w:r>
      <w:r>
        <w:t xml:space="preserve">Mensenhandel</w:t>
      </w:r>
    </w:p>
    <w:bookmarkStart w:id="44" w:name="b4.5-bestuurlijke-instrumenten"/>
    <w:p>
      <w:pPr>
        <w:pStyle w:val="Heading1"/>
      </w:pPr>
      <w:r>
        <w:t xml:space="preserve">B4.5 Bestuurlijke instrumenten</w:t>
      </w:r>
    </w:p>
    <w:p>
      <w:pPr>
        <w:pStyle w:val="FirstParagraph"/>
      </w:pPr>
      <w:r>
        <w:t xml:space="preserve">Een gedegen aanpak van mensenhandel vraagt om beleid met aandacht voor alle bestuurlijke instrumenten en barrières om mensenhandel tegen te gaan. Gemeenten beschikken over de volgende instrumenten:</w:t>
      </w:r>
    </w:p>
    <w:p>
      <w:pPr>
        <w:numPr>
          <w:ilvl w:val="0"/>
          <w:numId w:val="1001"/>
        </w:numPr>
        <w:pStyle w:val="Compact"/>
      </w:pPr>
      <w:hyperlink r:id="rId20">
        <w:r>
          <w:rPr>
            <w:rStyle w:val="Hyperlink"/>
          </w:rPr>
          <w:t xml:space="preserve">Algemene Plaatselijke Verordening</w:t>
        </w:r>
      </w:hyperlink>
    </w:p>
    <w:p>
      <w:pPr>
        <w:numPr>
          <w:ilvl w:val="0"/>
          <w:numId w:val="1001"/>
        </w:numPr>
        <w:pStyle w:val="Compact"/>
      </w:pPr>
      <w:hyperlink r:id="rId21">
        <w:r>
          <w:rPr>
            <w:rStyle w:val="Hyperlink"/>
          </w:rPr>
          <w:t xml:space="preserve">Gemeentewet</w:t>
        </w:r>
      </w:hyperlink>
      <w:r>
        <w:t xml:space="preserve"> </w:t>
      </w:r>
    </w:p>
    <w:p>
      <w:pPr>
        <w:numPr>
          <w:ilvl w:val="0"/>
          <w:numId w:val="1001"/>
        </w:numPr>
        <w:pStyle w:val="Compact"/>
      </w:pPr>
      <w:hyperlink r:id="rId22">
        <w:r>
          <w:rPr>
            <w:rStyle w:val="Hyperlink"/>
          </w:rPr>
          <w:t xml:space="preserve">Wet Bibob</w:t>
        </w:r>
      </w:hyperlink>
    </w:p>
    <w:p>
      <w:pPr>
        <w:numPr>
          <w:ilvl w:val="0"/>
          <w:numId w:val="1001"/>
        </w:numPr>
        <w:pStyle w:val="Compact"/>
      </w:pPr>
      <w:r>
        <w:t xml:space="preserve">Bestemmingsplannen</w:t>
      </w:r>
    </w:p>
    <w:p>
      <w:pPr>
        <w:numPr>
          <w:ilvl w:val="0"/>
          <w:numId w:val="1001"/>
        </w:numPr>
        <w:pStyle w:val="Compact"/>
      </w:pPr>
      <w:r>
        <w:t xml:space="preserve">Inzet op het Bouwbesluit 2012: artikel 7.18, eerste lid (overbewoning)</w:t>
      </w:r>
    </w:p>
    <w:p>
      <w:pPr>
        <w:numPr>
          <w:ilvl w:val="0"/>
          <w:numId w:val="1001"/>
        </w:numPr>
        <w:pStyle w:val="Compact"/>
      </w:pPr>
      <w:r>
        <w:t xml:space="preserve">Via het geldende bestemmingsplan van de gemeente kan de Wet algemene bepalingen omgevingsrecht (Wabo) uitkomst bieden. Er kan dan actie ondernomen worden op basis van artikel 2.1, eerste lid, aanhef en onder c (verbod met bestemmingsplan strijdig gebruik) van de Wabo.</w:t>
      </w:r>
    </w:p>
    <w:p>
      <w:pPr>
        <w:numPr>
          <w:ilvl w:val="0"/>
          <w:numId w:val="1001"/>
        </w:numPr>
        <w:pStyle w:val="Compact"/>
      </w:pPr>
      <w:r>
        <w:t xml:space="preserve">Daarnaast is de Huisvestingswet 2014 toe te passen conform artikel 8 van de Huisvestingswet 2014, gecombineerd met artikel 35 (bestuurlijke boete) van deze wet.</w:t>
      </w:r>
    </w:p>
    <w:bookmarkStart w:id="23" w:name="section"/>
    <w:p>
      <w:pPr>
        <w:pStyle w:val="Heading2"/>
      </w:pPr>
      <w:r>
        <w:t xml:space="preserve"> </w:t>
      </w:r>
    </w:p>
    <w:bookmarkEnd w:id="23"/>
    <w:bookmarkStart w:id="25" w:name="algemene-plaatselijke-verordening"/>
    <w:p>
      <w:pPr>
        <w:pStyle w:val="Heading2"/>
      </w:pPr>
      <w:r>
        <w:t xml:space="preserve">1. Algemene Plaatselijke Verordening</w:t>
      </w:r>
    </w:p>
    <w:p>
      <w:pPr>
        <w:pStyle w:val="FirstParagraph"/>
      </w:pPr>
      <w:r>
        <w:t xml:space="preserve">In de Algemene Plaatselijke Verordening (APV) staan de wettelijke regels, die alleen in de betreffende gemeente van kracht zijn. Met de APV kan een gemeente regels stellen over wat wel of niet toelaatbaar is in die gemeente. Uit de APV kan ook een vergunningsplicht ontstaan, als de vergunninghouder zich niet houdt aan bepaalde voorwaarden of de vergunning gebruikt voor criminele doeleinden, kan de vergunning worden ingetrokken. </w:t>
      </w:r>
    </w:p>
    <w:p>
      <w:pPr>
        <w:pStyle w:val="BodyText"/>
      </w:pPr>
      <w:r>
        <w:t xml:space="preserve">De</w:t>
      </w:r>
      <w:r>
        <w:t xml:space="preserve"> </w:t>
      </w:r>
      <w:hyperlink r:id="rId24">
        <w:r>
          <w:rPr>
            <w:rStyle w:val="Hyperlink"/>
          </w:rPr>
          <w:t xml:space="preserve">Handreiking VNG APV &amp; ondermijning</w:t>
        </w:r>
      </w:hyperlink>
      <w:r>
        <w:t xml:space="preserve"> geeft informatie en voorbeelden over het gebruik van de APV. De artikelen 3:1 t/m 3:22 gaan in op de seksbranche en aanverwante onderwerpen. Daarnaast zijn er voorbeelden van vergunningenbeleid of gebruik van het nachtregister om uitwassen als mensenhandel tegen te gaan.</w:t>
      </w:r>
    </w:p>
    <w:p>
      <w:pPr>
        <w:pStyle w:val="BodyText"/>
      </w:pPr>
      <w:r>
        <w:t xml:space="preserve"> </w:t>
      </w:r>
    </w:p>
    <w:bookmarkEnd w:id="25"/>
    <w:bookmarkStart w:id="38" w:name="gemeentewet"/>
    <w:p>
      <w:pPr>
        <w:pStyle w:val="Heading2"/>
      </w:pPr>
      <w:r>
        <w:t xml:space="preserve">2. Gemeentewet</w:t>
      </w:r>
    </w:p>
    <w:p>
      <w:pPr>
        <w:pStyle w:val="FirstParagraph"/>
      </w:pPr>
      <w:hyperlink r:id="rId26">
        <w:r>
          <w:rPr>
            <w:rStyle w:val="Hyperlink"/>
          </w:rPr>
          <w:t xml:space="preserve">Algemene bevoegdheid tot handhaving van de openbare orde.</w:t>
        </w:r>
      </w:hyperlink>
      <w:r>
        <w:t xml:space="preserve"> Artikel 172 Gemeentewet belast de burgemeester met de handhaving van de openbare orde onder gewone omstandigheden.</w:t>
      </w:r>
    </w:p>
    <w:bookmarkStart w:id="30" w:name="de-wet-victoria"/>
    <w:p>
      <w:pPr>
        <w:pStyle w:val="Heading3"/>
      </w:pPr>
      <w:r>
        <w:t xml:space="preserve">De Wet Victoria</w:t>
      </w:r>
    </w:p>
    <w:p>
      <w:pPr>
        <w:pStyle w:val="FirstParagraph"/>
      </w:pPr>
      <w:r>
        <w:t xml:space="preserve">De</w:t>
      </w:r>
      <w:r>
        <w:t xml:space="preserve"> </w:t>
      </w:r>
      <w:hyperlink r:id="rId27">
        <w:r>
          <w:rPr>
            <w:rStyle w:val="Hyperlink"/>
          </w:rPr>
          <w:t xml:space="preserve">Wet Victoria</w:t>
        </w:r>
      </w:hyperlink>
      <w:r>
        <w:t xml:space="preserve"> </w:t>
      </w:r>
      <w:r>
        <w:t xml:space="preserve">(artikel 174a Gemeentewet) geeft de burgemeester de bevoegdheid om een woning te sluiten of niet voor het publiek toegankelijk lokaal te verklaren bij verstoring van de openbare orde rond die woning door gedragingen in die woning of dat lokaal. Sluiting is alleen mogelijk in situaties waarin sprake is van overlast waardoor de veiligheid en gezondheid van mensen in de omgeving van de woning in ernstige mate worden bedreigd.</w:t>
      </w:r>
    </w:p>
    <w:p>
      <w:pPr>
        <w:pStyle w:val="BodyText"/>
      </w:pPr>
      <w:r>
        <w:t xml:space="preserve">Het college van Burgemeester en Wethouders heeft op grond van </w:t>
      </w:r>
      <w:hyperlink r:id="rId28">
        <w:r>
          <w:rPr>
            <w:rStyle w:val="Hyperlink"/>
          </w:rPr>
          <w:t xml:space="preserve">artikel 17 van de Woningwet</w:t>
        </w:r>
      </w:hyperlink>
      <w:r>
        <w:t xml:space="preserve"> de mogelijkheid om een gebouw, open erf of terrein te sluiten indien sprake is van bedreiging van de leefbaarheid of er gevaar voor de gezondheid of de veiligheid is. Het college kan de uitvoering ervan mandateren aan de burgemeester.</w:t>
      </w:r>
    </w:p>
    <w:p>
      <w:pPr>
        <w:pStyle w:val="BodyText"/>
      </w:pPr>
      <w:r>
        <w:t xml:space="preserve">Het bevel om de woning te sluiten is een besluit in de zin van de Algemene wet bestuursrecht, waartegen bezwaar en beroep openstaat voor de bewoner of een andere belanghebbende. (</w:t>
      </w:r>
      <w:hyperlink r:id="rId29">
        <w:r>
          <w:rPr>
            <w:rStyle w:val="Hyperlink"/>
          </w:rPr>
          <w:t xml:space="preserve">bron</w:t>
        </w:r>
      </w:hyperlink>
      <w:r>
        <w:t xml:space="preserve">)</w:t>
      </w:r>
    </w:p>
    <w:bookmarkEnd w:id="30"/>
    <w:bookmarkStart w:id="36" w:name="de-wet-victor-volgt-op-victoria"/>
    <w:p>
      <w:pPr>
        <w:pStyle w:val="Heading3"/>
      </w:pPr>
      <w:r>
        <w:t xml:space="preserve">De Wet Victor (volgt op Victoria)</w:t>
      </w:r>
    </w:p>
    <w:p>
      <w:pPr>
        <w:pStyle w:val="FirstParagraph"/>
      </w:pPr>
      <w:r>
        <w:t xml:space="preserve">Na sluiting door de burgemeester kan het college van B&amp;W een vervolg geven op grond van de Wet Victor. De </w:t>
      </w:r>
      <w:hyperlink r:id="rId31">
        <w:r>
          <w:rPr>
            <w:rStyle w:val="Hyperlink"/>
          </w:rPr>
          <w:t xml:space="preserve">Wet Victor</w:t>
        </w:r>
      </w:hyperlink>
      <w:r>
        <w:t xml:space="preserve"> regelt het natraject van een sluiting op grond van </w:t>
      </w:r>
      <w:hyperlink r:id="rId32">
        <w:r>
          <w:rPr>
            <w:rStyle w:val="Hyperlink"/>
          </w:rPr>
          <w:t xml:space="preserve">artikel 13b van de Opiumwet</w:t>
        </w:r>
      </w:hyperlink>
      <w:r>
        <w:t xml:space="preserve"> (</w:t>
      </w:r>
      <w:hyperlink r:id="rId33">
        <w:r>
          <w:rPr>
            <w:rStyle w:val="Hyperlink"/>
          </w:rPr>
          <w:t xml:space="preserve">Wet Damocles</w:t>
        </w:r>
      </w:hyperlink>
      <w:r>
        <w:t xml:space="preserve">) of artikel 174a van de Gemeentewet. Het college is bevoegd om de eigenaar te verplichten om een andere gebruiker voor het pand aan te wijzen of het gebouw in beheer te geven (</w:t>
      </w:r>
      <w:hyperlink r:id="rId34">
        <w:r>
          <w:rPr>
            <w:rStyle w:val="Hyperlink"/>
          </w:rPr>
          <w:t xml:space="preserve">artikel 13b van de Woningwet</w:t>
        </w:r>
      </w:hyperlink>
      <w:r>
        <w:t xml:space="preserve">). Aan dit besluit kunnen voorwaarden worden gesteld, zoals het geschikt maken voor gebruik van de woning. Mocht er ondanks de aanwijzingsbevoegdheid geen uitzicht zijn op duurzaam herstel van de openbare orde rond de betreffende woning, dan is de gemeenteraad, op grond van </w:t>
      </w:r>
      <w:hyperlink r:id="rId35">
        <w:r>
          <w:rPr>
            <w:rStyle w:val="Hyperlink"/>
          </w:rPr>
          <w:t xml:space="preserve">artikel 77 lid 1 sub 7 van de Onteigeningswet</w:t>
        </w:r>
      </w:hyperlink>
      <w:r>
        <w:t xml:space="preserve">, bevoegd om tot onteigening over te gaan.</w:t>
      </w:r>
    </w:p>
    <w:bookmarkEnd w:id="36"/>
    <w:bookmarkStart w:id="37" w:name="jurisprudentie"/>
    <w:p>
      <w:pPr>
        <w:pStyle w:val="Heading3"/>
      </w:pPr>
      <w:r>
        <w:t xml:space="preserve">Jurisprudentie</w:t>
      </w:r>
    </w:p>
    <w:p>
      <w:pPr>
        <w:pStyle w:val="FirstParagraph"/>
      </w:pPr>
      <w:r>
        <w:t xml:space="preserve">Op www.burgemeesters.nl is jurisprudentie over de Wet </w:t>
      </w:r>
      <w:hyperlink r:id="rId29">
        <w:r>
          <w:rPr>
            <w:rStyle w:val="Hyperlink"/>
          </w:rPr>
          <w:t xml:space="preserve">Victoria en Victor</w:t>
        </w:r>
      </w:hyperlink>
      <w:r>
        <w:t xml:space="preserve"> </w:t>
      </w:r>
      <w:r>
        <w:t xml:space="preserve">te vinden. </w:t>
      </w:r>
    </w:p>
    <w:p>
      <w:pPr>
        <w:pStyle w:val="BodyText"/>
      </w:pPr>
      <w:r>
        <w:t xml:space="preserve"> </w:t>
      </w:r>
    </w:p>
    <w:bookmarkEnd w:id="37"/>
    <w:bookmarkEnd w:id="38"/>
    <w:bookmarkStart w:id="40" w:name="wet-bibob"/>
    <w:p>
      <w:pPr>
        <w:pStyle w:val="Heading2"/>
      </w:pPr>
      <w:r>
        <w:t xml:space="preserve">3. Wet Bibob</w:t>
      </w:r>
    </w:p>
    <w:p>
      <w:pPr>
        <w:pStyle w:val="FirstParagraph"/>
      </w:pPr>
      <w:r>
        <w:t xml:space="preserve">De Wet Bibob is een (preventief) bestuursrechtelijk instrument. Het voornaamste doel van deze wet is het voorkomen dat de overheid ongewild criminaliteit faciliteert, bijvoorbeeld bij het witwassen van geld. Een bestuursorgaan kan volgens deze wet besluiten een vergunning in te trekken of te weigeren indien het vermoeden bestaat dat de aanvragers of houders van de vergunning deze zullen gebruiken voor het plegen van strafbare feiten. Ook bestaat de mogelijkheid om vergunningen alleen onder bepaalde voorwaarden te verstrekken. Naast vergunningen is het Bibob-instrument in te zetten voor subsidies, vastgoedtransacties en aanbestedingen. De officier van justitie heeft een ondersteunende rol: hij mag een bestuursorgaan laten weten dat het wenselijk is om een Bibob-advies aan te vragen over een bepaald persoon of bepaalde onderneming als die betrokken is bij strafbare feiten.</w:t>
      </w:r>
    </w:p>
    <w:p>
      <w:pPr>
        <w:pStyle w:val="BodyText"/>
      </w:pPr>
      <w:r>
        <w:t xml:space="preserve">Voor de burgemeester is het Bibob-instrument met name van belang voor vergunningen:</w:t>
      </w:r>
    </w:p>
    <w:p>
      <w:pPr>
        <w:numPr>
          <w:ilvl w:val="0"/>
          <w:numId w:val="1002"/>
        </w:numPr>
        <w:pStyle w:val="Compact"/>
      </w:pPr>
      <w:r>
        <w:t xml:space="preserve">ter bescherming van de gezondheid,</w:t>
      </w:r>
    </w:p>
    <w:p>
      <w:pPr>
        <w:numPr>
          <w:ilvl w:val="0"/>
          <w:numId w:val="1002"/>
        </w:numPr>
        <w:pStyle w:val="Compact"/>
      </w:pPr>
      <w:r>
        <w:t xml:space="preserve">uit de Drank- en Horecawet,</w:t>
      </w:r>
    </w:p>
    <w:p>
      <w:pPr>
        <w:numPr>
          <w:ilvl w:val="0"/>
          <w:numId w:val="1002"/>
        </w:numPr>
        <w:pStyle w:val="Compact"/>
      </w:pPr>
      <w:r>
        <w:t xml:space="preserve">uit de Wet op de kansspelautomaten,</w:t>
      </w:r>
    </w:p>
    <w:p>
      <w:pPr>
        <w:numPr>
          <w:ilvl w:val="0"/>
          <w:numId w:val="1002"/>
        </w:numPr>
        <w:pStyle w:val="Compact"/>
      </w:pPr>
      <w:r>
        <w:t xml:space="preserve">die op grond van een gemeentelijke verordening verplicht zijn voor een inrichting of bedrijf,</w:t>
      </w:r>
    </w:p>
    <w:p>
      <w:pPr>
        <w:numPr>
          <w:ilvl w:val="0"/>
          <w:numId w:val="1002"/>
        </w:numPr>
        <w:pStyle w:val="Compact"/>
      </w:pPr>
      <w:r>
        <w:t xml:space="preserve">voor een seksbedrijf.</w:t>
      </w:r>
    </w:p>
    <w:p>
      <w:pPr>
        <w:pStyle w:val="FirstParagraph"/>
      </w:pPr>
      <w:r>
        <w:t xml:space="preserve">(Bron:</w:t>
      </w:r>
      <w:r>
        <w:t xml:space="preserve"> </w:t>
      </w:r>
      <w:hyperlink r:id="rId39">
        <w:r>
          <w:rPr>
            <w:rStyle w:val="Hyperlink"/>
          </w:rPr>
          <w:t xml:space="preserve">genootschap van Burgemeesters</w:t>
        </w:r>
      </w:hyperlink>
      <w:r>
        <w:t xml:space="preserve">)</w:t>
      </w:r>
    </w:p>
    <w:p>
      <w:pPr>
        <w:pStyle w:val="BodyText"/>
      </w:pPr>
      <w:r>
        <w:t xml:space="preserve"> </w:t>
      </w:r>
    </w:p>
    <w:bookmarkEnd w:id="40"/>
    <w:bookmarkStart w:id="43" w:name="bestemmingsplannen"/>
    <w:p>
      <w:pPr>
        <w:pStyle w:val="Heading2"/>
      </w:pPr>
      <w:r>
        <w:t xml:space="preserve">4. Bestemmingsplannen</w:t>
      </w:r>
    </w:p>
    <w:p>
      <w:pPr>
        <w:pStyle w:val="FirstParagraph"/>
      </w:pPr>
      <w:r>
        <w:t xml:space="preserve">Op basis van de </w:t>
      </w:r>
      <w:hyperlink r:id="rId41">
        <w:r>
          <w:rPr>
            <w:rStyle w:val="Hyperlink"/>
          </w:rPr>
          <w:t xml:space="preserve">Wet ruimtelijke ordening</w:t>
        </w:r>
      </w:hyperlink>
      <w:r>
        <w:t xml:space="preserve">, stelt de gemeenteraad bestemmingsplannen vast voor het grondgebied van de gemeente. In een bestemmingsplan geeft de gemeente de bestemmingen aan van de gronden en gebouwen. Zo hebben gemeenten de mogelijkheid om een ruimtelijk vestigingsbeleid met betrekking tot bepaalde bedrijvigheid te voeren.</w:t>
      </w:r>
    </w:p>
    <w:p>
      <w:pPr>
        <w:pStyle w:val="BodyText"/>
      </w:pPr>
      <w:r>
        <w:t xml:space="preserve">Indien het feitelijk gebruik van een pand strijdig is met het bestemmingsplan, biedt de Wet ruimtelijke ordening de gemeente de mogelijkheid om over te gaan tot aanzegging van bestuursdwang of tot oplegging van een dwangsom op basis van </w:t>
      </w:r>
      <w:hyperlink r:id="rId42">
        <w:r>
          <w:rPr>
            <w:rStyle w:val="Hyperlink"/>
          </w:rPr>
          <w:t xml:space="preserve">artikel 125 van de Gemeentewet</w:t>
        </w:r>
      </w:hyperlink>
      <w:r>
        <w:t xml:space="preserve"> om het gebruik in overeenstemming met de bestemming te brengen.</w:t>
      </w:r>
    </w:p>
    <w:p>
      <w:pPr>
        <w:pStyle w:val="BodyText"/>
      </w:pPr>
      <w:r>
        <w:t xml:space="preserve">Door aanpassing van de bestemmingsplannen heeft de gemeente ook de mogelijkheid een ruimtelijk vestigingsbeleid te voeren. Bijvoorbeeld het ‘weg bestemmen’ van ongewenste economische activiteiten.</w:t>
      </w:r>
    </w:p>
    <w:bookmarkEnd w:id="43"/>
    <w:bookmarkEnd w:id="44"/>
    <w:sectPr w:rsidR="004E1821">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9CF859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a454b4c"/>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rsid w:val="008C5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vng.nl/sites/default/files/2020-05/handreiking-apv-en-ondermijning.pdf" TargetMode="External" /><Relationship Type="http://schemas.openxmlformats.org/officeDocument/2006/relationships/hyperlink" Id="rId35" Target="http://wetten.overheid.nl/BWBR0001842/#TitelIV_Artikel77" TargetMode="External" /><Relationship Type="http://schemas.openxmlformats.org/officeDocument/2006/relationships/hyperlink" Id="rId32" Target="http://wetten.overheid.nl/BWBR0001941/#Artikel13b" TargetMode="External" /><Relationship Type="http://schemas.openxmlformats.org/officeDocument/2006/relationships/hyperlink" Id="rId34" Target="http://wetten.overheid.nl/BWBR0005181/#HoofdstukIII_Artikel14" TargetMode="External" /><Relationship Type="http://schemas.openxmlformats.org/officeDocument/2006/relationships/hyperlink" Id="rId42" Target="http://wetten.overheid.nl/BWBR0005416/2017-07-01#TiteldeelIII_HoofdstukVIII_Paragraaf4_Artikel125" TargetMode="External" /><Relationship Type="http://schemas.openxmlformats.org/officeDocument/2006/relationships/hyperlink" Id="rId41" Target="http://wetten.overheid.nl/BWBR0020449/2016-04-14" TargetMode="External" /><Relationship Type="http://schemas.openxmlformats.org/officeDocument/2006/relationships/hyperlink" Id="rId28" Target="http://wetten.overheid.nl/jci1.3:c:BWBR0005181&amp;hoofdstuk=III&amp;artikel=17&amp;z=2016-10-28&amp;g=2016-10-28" TargetMode="External" /><Relationship Type="http://schemas.openxmlformats.org/officeDocument/2006/relationships/hyperlink" Id="rId20" Target="https://vng.nl/onderwerpenindex/recht/apv" TargetMode="External" /><Relationship Type="http://schemas.openxmlformats.org/officeDocument/2006/relationships/hyperlink" Id="rId27" Target="https://wetten.overheid.nl/BWBR0005416/2017-07-01#TiteldeelIII_HoofdstukXI_Artikel174" TargetMode="External" /><Relationship Type="http://schemas.openxmlformats.org/officeDocument/2006/relationships/hyperlink" Id="rId21" Target="https://wetten.overheid.nl/BWBR0005416/2020-01-01" TargetMode="External" /><Relationship Type="http://schemas.openxmlformats.org/officeDocument/2006/relationships/hyperlink" Id="rId31" Target="https://wetten.overheid.nl/BWBR0013719/2002-07-13" TargetMode="External" /><Relationship Type="http://schemas.openxmlformats.org/officeDocument/2006/relationships/hyperlink" Id="rId26" Target="https://www.burgemeesters.nl/bevoegdheden/algemeen" TargetMode="External" /><Relationship Type="http://schemas.openxmlformats.org/officeDocument/2006/relationships/hyperlink" Id="rId33" Target="https://www.burgemeesters.nl/bevoegdheden/damocles" TargetMode="External" /><Relationship Type="http://schemas.openxmlformats.org/officeDocument/2006/relationships/hyperlink" Id="rId29" Target="https://www.burgemeesters.nl/bevoegdheden/victoria" TargetMode="External" /><Relationship Type="http://schemas.openxmlformats.org/officeDocument/2006/relationships/hyperlink" Id="rId39" Target="https://www.burgemeesters.nl/sites/www.burgemeesters.nl/files/File/Zakboek%20orde%20en%20veiligheid%202017.pdf" TargetMode="External" /><Relationship Type="http://schemas.openxmlformats.org/officeDocument/2006/relationships/hyperlink" Id="rId22" Target="https://www.justis.nl/producten/bibob/wet-bibob/" TargetMode="External" /></Relationships>
</file>

<file path=word/_rels/footnotes.xml.rels><?xml version="1.0" encoding="UTF-8"?>
<Relationships xmlns="http://schemas.openxmlformats.org/package/2006/relationships"><Relationship Type="http://schemas.openxmlformats.org/officeDocument/2006/relationships/hyperlink" Id="rId24" Target="http://vng.nl/sites/default/files/2020-05/handreiking-apv-en-ondermijning.pdf" TargetMode="External" /><Relationship Type="http://schemas.openxmlformats.org/officeDocument/2006/relationships/hyperlink" Id="rId35" Target="http://wetten.overheid.nl/BWBR0001842/#TitelIV_Artikel77" TargetMode="External" /><Relationship Type="http://schemas.openxmlformats.org/officeDocument/2006/relationships/hyperlink" Id="rId32" Target="http://wetten.overheid.nl/BWBR0001941/#Artikel13b" TargetMode="External" /><Relationship Type="http://schemas.openxmlformats.org/officeDocument/2006/relationships/hyperlink" Id="rId34" Target="http://wetten.overheid.nl/BWBR0005181/#HoofdstukIII_Artikel14" TargetMode="External" /><Relationship Type="http://schemas.openxmlformats.org/officeDocument/2006/relationships/hyperlink" Id="rId42" Target="http://wetten.overheid.nl/BWBR0005416/2017-07-01#TiteldeelIII_HoofdstukVIII_Paragraaf4_Artikel125" TargetMode="External" /><Relationship Type="http://schemas.openxmlformats.org/officeDocument/2006/relationships/hyperlink" Id="rId41" Target="http://wetten.overheid.nl/BWBR0020449/2016-04-14" TargetMode="External" /><Relationship Type="http://schemas.openxmlformats.org/officeDocument/2006/relationships/hyperlink" Id="rId28" Target="http://wetten.overheid.nl/jci1.3:c:BWBR0005181&amp;hoofdstuk=III&amp;artikel=17&amp;z=2016-10-28&amp;g=2016-10-28" TargetMode="External" /><Relationship Type="http://schemas.openxmlformats.org/officeDocument/2006/relationships/hyperlink" Id="rId20" Target="https://vng.nl/onderwerpenindex/recht/apv" TargetMode="External" /><Relationship Type="http://schemas.openxmlformats.org/officeDocument/2006/relationships/hyperlink" Id="rId27" Target="https://wetten.overheid.nl/BWBR0005416/2017-07-01#TiteldeelIII_HoofdstukXI_Artikel174" TargetMode="External" /><Relationship Type="http://schemas.openxmlformats.org/officeDocument/2006/relationships/hyperlink" Id="rId21" Target="https://wetten.overheid.nl/BWBR0005416/2020-01-01" TargetMode="External" /><Relationship Type="http://schemas.openxmlformats.org/officeDocument/2006/relationships/hyperlink" Id="rId31" Target="https://wetten.overheid.nl/BWBR0013719/2002-07-13" TargetMode="External" /><Relationship Type="http://schemas.openxmlformats.org/officeDocument/2006/relationships/hyperlink" Id="rId26" Target="https://www.burgemeesters.nl/bevoegdheden/algemeen" TargetMode="External" /><Relationship Type="http://schemas.openxmlformats.org/officeDocument/2006/relationships/hyperlink" Id="rId33" Target="https://www.burgemeesters.nl/bevoegdheden/damocles" TargetMode="External" /><Relationship Type="http://schemas.openxmlformats.org/officeDocument/2006/relationships/hyperlink" Id="rId29" Target="https://www.burgemeesters.nl/bevoegdheden/victoria" TargetMode="External" /><Relationship Type="http://schemas.openxmlformats.org/officeDocument/2006/relationships/hyperlink" Id="rId39" Target="https://www.burgemeesters.nl/sites/www.burgemeesters.nl/files/File/Zakboek%20orde%20en%20veiligheid%202017.pdf" TargetMode="External" /><Relationship Type="http://schemas.openxmlformats.org/officeDocument/2006/relationships/hyperlink" Id="rId22" Target="https://www.justis.nl/producten/bibob/wet-bibo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KOMPAS / Aanpak Mensenhandel</dc:title>
  <dc:creator/>
  <cp:keywords/>
  <dcterms:created xsi:type="dcterms:W3CDTF">2024-06-25T04:52:27Z</dcterms:created>
  <dcterms:modified xsi:type="dcterms:W3CDTF">2024-06-25T04:52:27Z</dcterms:modified>
</cp:coreProperties>
</file>

<file path=docProps/custom.xml><?xml version="1.0" encoding="utf-8"?>
<Properties xmlns="http://schemas.openxmlformats.org/officeDocument/2006/custom-properties" xmlns:vt="http://schemas.openxmlformats.org/officeDocument/2006/docPropsVTypes"/>
</file>